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3665" w14:textId="37000CDA" w:rsidR="00660789" w:rsidRPr="00163E1F" w:rsidRDefault="003B1B80" w:rsidP="003B1B80">
      <w:pPr>
        <w:pStyle w:val="NormalWeb"/>
        <w:spacing w:before="0" w:beforeAutospacing="0" w:after="0" w:afterAutospacing="0"/>
        <w:jc w:val="center"/>
        <w:rPr>
          <w:rFonts w:ascii="Arial" w:hAnsi="Arial" w:cs="Arial"/>
          <w:sz w:val="22"/>
          <w:szCs w:val="22"/>
        </w:rPr>
      </w:pPr>
      <w:r>
        <w:rPr>
          <w:rFonts w:ascii="Arial" w:eastAsia="Cambria" w:hAnsi="Arial" w:cs="Arial"/>
          <w:b/>
          <w:bCs/>
          <w:kern w:val="24"/>
          <w:sz w:val="22"/>
          <w:szCs w:val="22"/>
        </w:rPr>
        <w:t xml:space="preserve">Athletics </w:t>
      </w:r>
      <w:r w:rsidR="00660789" w:rsidRPr="00163E1F">
        <w:rPr>
          <w:rFonts w:ascii="Arial" w:eastAsia="Cambria" w:hAnsi="Arial" w:cs="Arial"/>
          <w:b/>
          <w:bCs/>
          <w:kern w:val="24"/>
          <w:sz w:val="22"/>
          <w:szCs w:val="22"/>
        </w:rPr>
        <w:t>Framework Agreement Summary</w:t>
      </w:r>
      <w:r>
        <w:rPr>
          <w:rFonts w:ascii="Arial" w:hAnsi="Arial" w:cs="Arial"/>
          <w:sz w:val="22"/>
          <w:szCs w:val="22"/>
        </w:rPr>
        <w:t xml:space="preserve"> </w:t>
      </w:r>
      <w:r w:rsidR="000F7DDF">
        <w:rPr>
          <w:rFonts w:ascii="Arial" w:hAnsi="Arial" w:cs="Arial"/>
          <w:b/>
          <w:bCs/>
          <w:sz w:val="22"/>
          <w:szCs w:val="22"/>
        </w:rPr>
        <w:t>2021</w:t>
      </w:r>
      <w:bookmarkStart w:id="0" w:name="_GoBack"/>
      <w:bookmarkEnd w:id="0"/>
    </w:p>
    <w:p w14:paraId="0E9DA506" w14:textId="77777777" w:rsidR="003B1B80" w:rsidRDefault="003B1B80">
      <w:pPr>
        <w:rPr>
          <w:rFonts w:ascii="Arial" w:hAnsi="Arial" w:cs="Arial"/>
          <w:b/>
          <w:bCs/>
          <w:u w:val="single"/>
        </w:rPr>
      </w:pPr>
    </w:p>
    <w:p w14:paraId="50D092F9" w14:textId="77777777" w:rsidR="004B20AA" w:rsidRPr="00163E1F" w:rsidRDefault="00660789">
      <w:pPr>
        <w:rPr>
          <w:rFonts w:ascii="Arial" w:hAnsi="Arial" w:cs="Arial"/>
          <w:b/>
          <w:bCs/>
          <w:u w:val="single"/>
        </w:rPr>
      </w:pPr>
      <w:r w:rsidRPr="00163E1F">
        <w:rPr>
          <w:rFonts w:ascii="Arial" w:hAnsi="Arial" w:cs="Arial"/>
          <w:b/>
          <w:bCs/>
          <w:u w:val="single"/>
        </w:rPr>
        <w:t>What is the Framework Agreement?</w:t>
      </w:r>
    </w:p>
    <w:p w14:paraId="6CA33258" w14:textId="77777777" w:rsidR="00660789" w:rsidRPr="00DC5DD6" w:rsidRDefault="00660789" w:rsidP="00DC5DD6">
      <w:pPr>
        <w:pStyle w:val="ListParagraph"/>
        <w:numPr>
          <w:ilvl w:val="0"/>
          <w:numId w:val="5"/>
        </w:numPr>
        <w:rPr>
          <w:rFonts w:ascii="Arial" w:hAnsi="Arial" w:cs="Arial"/>
          <w:sz w:val="22"/>
          <w:szCs w:val="22"/>
        </w:rPr>
      </w:pPr>
      <w:r w:rsidRPr="00163E1F">
        <w:rPr>
          <w:rFonts w:ascii="Arial" w:eastAsiaTheme="minorEastAsia" w:hAnsi="Arial" w:cs="Arial"/>
          <w:kern w:val="24"/>
          <w:sz w:val="22"/>
          <w:szCs w:val="22"/>
        </w:rPr>
        <w:t xml:space="preserve">A document that builds on the intent set out in the high level “interim” collaboration agreement (Summer 2020) </w:t>
      </w:r>
    </w:p>
    <w:p w14:paraId="0C61DBF4" w14:textId="7D28F542" w:rsidR="00DC5DD6" w:rsidRPr="00DC5DD6" w:rsidRDefault="00DC5DD6" w:rsidP="00DC5DD6">
      <w:pPr>
        <w:pStyle w:val="ListParagraph"/>
        <w:numPr>
          <w:ilvl w:val="1"/>
          <w:numId w:val="5"/>
        </w:numPr>
        <w:rPr>
          <w:rFonts w:ascii="Arial" w:hAnsi="Arial" w:cs="Arial"/>
          <w:sz w:val="22"/>
          <w:szCs w:val="22"/>
        </w:rPr>
      </w:pPr>
      <w:hyperlink r:id="rId5" w:history="1">
        <w:r w:rsidRPr="003F27F1">
          <w:rPr>
            <w:rStyle w:val="Hyperlink"/>
            <w:rFonts w:ascii="Arial" w:hAnsi="Arial" w:cs="Arial"/>
            <w:sz w:val="22"/>
            <w:szCs w:val="22"/>
          </w:rPr>
          <w:t>https://athleticsni.org/News/Athletics-NI-News/UK-Athletics-and-Home-Countries-Commit-to-UK-Sport-Review-Recommended-Change-Plan</w:t>
        </w:r>
      </w:hyperlink>
    </w:p>
    <w:p w14:paraId="6D21F763" w14:textId="77777777" w:rsidR="00660789" w:rsidRPr="00163E1F" w:rsidRDefault="00660789" w:rsidP="00DC5DD6">
      <w:pPr>
        <w:pStyle w:val="ListParagraph"/>
        <w:numPr>
          <w:ilvl w:val="0"/>
          <w:numId w:val="5"/>
        </w:numPr>
        <w:rPr>
          <w:rFonts w:ascii="Arial" w:hAnsi="Arial" w:cs="Arial"/>
          <w:sz w:val="22"/>
          <w:szCs w:val="22"/>
        </w:rPr>
      </w:pPr>
      <w:r w:rsidRPr="00163E1F">
        <w:rPr>
          <w:rFonts w:ascii="Arial" w:eastAsiaTheme="minorEastAsia" w:hAnsi="Arial" w:cs="Arial"/>
          <w:kern w:val="24"/>
          <w:sz w:val="22"/>
          <w:szCs w:val="22"/>
        </w:rPr>
        <w:t xml:space="preserve">A document providing a structure for how we will work together as 5 parties to develop the UK wide strategy and manage its </w:t>
      </w:r>
      <w:r w:rsidR="00163E1F" w:rsidRPr="00163E1F">
        <w:rPr>
          <w:rFonts w:ascii="Arial" w:eastAsiaTheme="minorEastAsia" w:hAnsi="Arial" w:cs="Arial"/>
          <w:kern w:val="24"/>
          <w:sz w:val="22"/>
          <w:szCs w:val="22"/>
        </w:rPr>
        <w:t>implementation.</w:t>
      </w:r>
      <w:r w:rsidRPr="00163E1F">
        <w:rPr>
          <w:rFonts w:ascii="Arial" w:eastAsiaTheme="minorEastAsia" w:hAnsi="Arial" w:cs="Arial"/>
          <w:kern w:val="24"/>
          <w:sz w:val="22"/>
          <w:szCs w:val="22"/>
        </w:rPr>
        <w:t xml:space="preserve"> </w:t>
      </w:r>
    </w:p>
    <w:p w14:paraId="1EC6B54E" w14:textId="3A230040" w:rsidR="00660789" w:rsidRPr="00DC5DD6" w:rsidRDefault="00660789" w:rsidP="00DC5DD6">
      <w:pPr>
        <w:pStyle w:val="ListParagraph"/>
        <w:numPr>
          <w:ilvl w:val="1"/>
          <w:numId w:val="5"/>
        </w:numPr>
        <w:rPr>
          <w:rFonts w:ascii="Arial" w:hAnsi="Arial" w:cs="Arial"/>
          <w:sz w:val="22"/>
          <w:szCs w:val="22"/>
        </w:rPr>
      </w:pPr>
      <w:r w:rsidRPr="00163E1F">
        <w:rPr>
          <w:rFonts w:ascii="Arial" w:hAnsi="Arial" w:cs="Arial"/>
          <w:sz w:val="22"/>
          <w:szCs w:val="22"/>
        </w:rPr>
        <w:t>The 5 parties are UK Athletics, Athletics Northern Ireland, England Athletics, Scottish Athletics, Welsh Athletics</w:t>
      </w:r>
    </w:p>
    <w:p w14:paraId="4826238A" w14:textId="77777777" w:rsidR="00A922AE" w:rsidRPr="00163E1F" w:rsidRDefault="00660789" w:rsidP="00DC5DD6">
      <w:pPr>
        <w:pStyle w:val="ListParagraph"/>
        <w:numPr>
          <w:ilvl w:val="0"/>
          <w:numId w:val="5"/>
        </w:numPr>
        <w:rPr>
          <w:rFonts w:ascii="Arial" w:hAnsi="Arial" w:cs="Arial"/>
          <w:sz w:val="22"/>
          <w:szCs w:val="22"/>
        </w:rPr>
      </w:pPr>
      <w:r w:rsidRPr="00163E1F">
        <w:rPr>
          <w:rFonts w:ascii="Arial" w:eastAsiaTheme="minorEastAsia" w:hAnsi="Arial" w:cs="Arial"/>
          <w:kern w:val="24"/>
          <w:sz w:val="22"/>
          <w:szCs w:val="22"/>
        </w:rPr>
        <w:t xml:space="preserve">A document outlining </w:t>
      </w:r>
      <w:r w:rsidR="00163E1F" w:rsidRPr="00163E1F">
        <w:rPr>
          <w:rFonts w:ascii="Arial" w:eastAsiaTheme="minorEastAsia" w:hAnsi="Arial" w:cs="Arial"/>
          <w:kern w:val="24"/>
          <w:sz w:val="22"/>
          <w:szCs w:val="22"/>
        </w:rPr>
        <w:t>that we</w:t>
      </w:r>
      <w:r w:rsidRPr="00163E1F">
        <w:rPr>
          <w:rFonts w:ascii="Arial" w:eastAsiaTheme="minorEastAsia" w:hAnsi="Arial" w:cs="Arial"/>
          <w:kern w:val="24"/>
          <w:sz w:val="22"/>
          <w:szCs w:val="22"/>
        </w:rPr>
        <w:t xml:space="preserve"> will work together as equal partners to deliver the new UK wide </w:t>
      </w:r>
      <w:r w:rsidR="00163E1F" w:rsidRPr="00163E1F">
        <w:rPr>
          <w:rFonts w:ascii="Arial" w:eastAsiaTheme="minorEastAsia" w:hAnsi="Arial" w:cs="Arial"/>
          <w:kern w:val="24"/>
          <w:sz w:val="22"/>
          <w:szCs w:val="22"/>
        </w:rPr>
        <w:t>strategy.</w:t>
      </w:r>
    </w:p>
    <w:p w14:paraId="7A2E336E" w14:textId="77777777" w:rsidR="00660789" w:rsidRPr="00163E1F" w:rsidRDefault="00A922AE" w:rsidP="00DC5DD6">
      <w:pPr>
        <w:pStyle w:val="ListParagraph"/>
        <w:numPr>
          <w:ilvl w:val="0"/>
          <w:numId w:val="5"/>
        </w:numPr>
        <w:rPr>
          <w:rFonts w:ascii="Arial" w:hAnsi="Arial" w:cs="Arial"/>
          <w:sz w:val="22"/>
          <w:szCs w:val="22"/>
        </w:rPr>
      </w:pPr>
      <w:r w:rsidRPr="00163E1F">
        <w:rPr>
          <w:rFonts w:ascii="Arial" w:eastAsiaTheme="minorEastAsia" w:hAnsi="Arial" w:cs="Arial"/>
          <w:kern w:val="24"/>
          <w:sz w:val="22"/>
          <w:szCs w:val="22"/>
        </w:rPr>
        <w:t xml:space="preserve">A document that gives a mandate to the CEO Forum and </w:t>
      </w:r>
      <w:r w:rsidR="00163E1F" w:rsidRPr="00163E1F">
        <w:rPr>
          <w:rFonts w:ascii="Arial" w:eastAsiaTheme="minorEastAsia" w:hAnsi="Arial" w:cs="Arial"/>
          <w:kern w:val="24"/>
          <w:sz w:val="22"/>
          <w:szCs w:val="22"/>
        </w:rPr>
        <w:t xml:space="preserve">a new thematic </w:t>
      </w:r>
      <w:r w:rsidRPr="00163E1F">
        <w:rPr>
          <w:rFonts w:ascii="Arial" w:eastAsiaTheme="minorEastAsia" w:hAnsi="Arial" w:cs="Arial"/>
          <w:kern w:val="24"/>
          <w:sz w:val="22"/>
          <w:szCs w:val="22"/>
        </w:rPr>
        <w:t>Working Group structure to oversee the execution of the new “Athletics Unified” strategy</w:t>
      </w:r>
    </w:p>
    <w:p w14:paraId="6BCD7BA7" w14:textId="753B1B39" w:rsidR="00DC5DD6" w:rsidRDefault="00660789" w:rsidP="00660789">
      <w:pPr>
        <w:rPr>
          <w:rFonts w:ascii="Arial" w:hAnsi="Arial" w:cs="Arial"/>
        </w:rPr>
      </w:pPr>
      <w:r w:rsidRPr="00163E1F">
        <w:rPr>
          <w:rFonts w:ascii="Arial" w:hAnsi="Arial" w:cs="Arial"/>
        </w:rPr>
        <w:t xml:space="preserve">       </w:t>
      </w:r>
      <w:hyperlink r:id="rId6" w:history="1">
        <w:r w:rsidR="00DC5DD6" w:rsidRPr="003F27F1">
          <w:rPr>
            <w:rStyle w:val="Hyperlink"/>
            <w:rFonts w:ascii="Arial" w:hAnsi="Arial" w:cs="Arial"/>
          </w:rPr>
          <w:t>https://athleticsni.org/News/Athletics-NI-News/UK-ATHLETICS-AND-HOME-COUNTRIES-ANNOUNCE-NEW-STRATEGY-2020--2032</w:t>
        </w:r>
      </w:hyperlink>
    </w:p>
    <w:p w14:paraId="6D9D28A2" w14:textId="1BC5BE82" w:rsidR="00DC5DD6" w:rsidRDefault="00DC5DD6" w:rsidP="00660789">
      <w:pPr>
        <w:rPr>
          <w:rFonts w:ascii="Arial" w:hAnsi="Arial" w:cs="Arial"/>
        </w:rPr>
      </w:pPr>
      <w:hyperlink r:id="rId7" w:history="1">
        <w:r w:rsidRPr="003F27F1">
          <w:rPr>
            <w:rStyle w:val="Hyperlink"/>
            <w:rFonts w:ascii="Arial" w:hAnsi="Arial" w:cs="Arial"/>
          </w:rPr>
          <w:t>http://www.uka.org.uk/wp-content/uploads/2020/11/UK-Wide-Strategy.pdf</w:t>
        </w:r>
      </w:hyperlink>
    </w:p>
    <w:p w14:paraId="6B0D2037" w14:textId="77777777" w:rsidR="00660789" w:rsidRPr="00DC5DD6" w:rsidRDefault="00660789" w:rsidP="00DC5DD6">
      <w:pPr>
        <w:pStyle w:val="ListParagraph"/>
        <w:numPr>
          <w:ilvl w:val="0"/>
          <w:numId w:val="4"/>
        </w:numPr>
        <w:rPr>
          <w:rFonts w:ascii="Arial" w:hAnsi="Arial" w:cs="Arial"/>
        </w:rPr>
      </w:pPr>
      <w:r w:rsidRPr="00DC5DD6">
        <w:rPr>
          <w:rFonts w:ascii="Arial" w:eastAsiaTheme="minorEastAsia" w:hAnsi="Arial" w:cs="Arial"/>
          <w:kern w:val="24"/>
        </w:rPr>
        <w:t>A document that outlines the importance of cross Board working between the 5 parties</w:t>
      </w:r>
    </w:p>
    <w:p w14:paraId="7199BF3C" w14:textId="568D1FEF" w:rsidR="00660789" w:rsidRPr="00DC5DD6" w:rsidRDefault="00660789" w:rsidP="00DC5DD6">
      <w:pPr>
        <w:pStyle w:val="ListParagraph"/>
        <w:numPr>
          <w:ilvl w:val="0"/>
          <w:numId w:val="4"/>
        </w:numPr>
        <w:rPr>
          <w:rFonts w:ascii="Arial" w:hAnsi="Arial" w:cs="Arial"/>
        </w:rPr>
      </w:pPr>
      <w:r w:rsidRPr="00DC5DD6">
        <w:rPr>
          <w:rFonts w:ascii="Arial" w:eastAsiaTheme="minorEastAsia" w:hAnsi="Arial" w:cs="Arial"/>
          <w:kern w:val="24"/>
        </w:rPr>
        <w:t xml:space="preserve">A document that outlines the importance of working together to monitor and track performance of the new </w:t>
      </w:r>
      <w:r w:rsidR="00163E1F" w:rsidRPr="00DC5DD6">
        <w:rPr>
          <w:rFonts w:ascii="Arial" w:eastAsiaTheme="minorEastAsia" w:hAnsi="Arial" w:cs="Arial"/>
          <w:kern w:val="24"/>
        </w:rPr>
        <w:t>strategy.</w:t>
      </w:r>
    </w:p>
    <w:p w14:paraId="7F0EFDD8" w14:textId="0E06EB43" w:rsidR="00A8448E" w:rsidRPr="00DC5DD6" w:rsidRDefault="00A8448E" w:rsidP="00DC5DD6">
      <w:pPr>
        <w:pStyle w:val="ListParagraph"/>
        <w:numPr>
          <w:ilvl w:val="0"/>
          <w:numId w:val="4"/>
        </w:numPr>
        <w:rPr>
          <w:rFonts w:ascii="Arial" w:hAnsi="Arial" w:cs="Arial"/>
        </w:rPr>
      </w:pPr>
      <w:r w:rsidRPr="00DC5DD6">
        <w:rPr>
          <w:rFonts w:ascii="Arial" w:eastAsiaTheme="minorEastAsia" w:hAnsi="Arial" w:cs="Arial"/>
          <w:kern w:val="24"/>
        </w:rPr>
        <w:t>A document that demonstrates our commitment to working collaboratively to grow the sport across the UK.</w:t>
      </w:r>
    </w:p>
    <w:p w14:paraId="324A584F" w14:textId="77777777" w:rsidR="00660789" w:rsidRPr="00163E1F" w:rsidRDefault="00660789" w:rsidP="00660789">
      <w:pPr>
        <w:rPr>
          <w:rFonts w:ascii="Arial" w:hAnsi="Arial" w:cs="Arial"/>
        </w:rPr>
      </w:pPr>
    </w:p>
    <w:p w14:paraId="692A9DBF" w14:textId="77777777" w:rsidR="00660789" w:rsidRPr="00163E1F" w:rsidRDefault="00660789" w:rsidP="00660789">
      <w:pPr>
        <w:rPr>
          <w:rFonts w:ascii="Arial" w:hAnsi="Arial" w:cs="Arial"/>
          <w:b/>
          <w:bCs/>
          <w:u w:val="single"/>
        </w:rPr>
      </w:pPr>
      <w:r w:rsidRPr="00163E1F">
        <w:rPr>
          <w:rFonts w:ascii="Arial" w:hAnsi="Arial" w:cs="Arial"/>
          <w:b/>
          <w:bCs/>
          <w:u w:val="single"/>
        </w:rPr>
        <w:t>Other</w:t>
      </w:r>
      <w:r w:rsidR="00A922AE" w:rsidRPr="00163E1F">
        <w:rPr>
          <w:rFonts w:ascii="Arial" w:hAnsi="Arial" w:cs="Arial"/>
          <w:b/>
          <w:bCs/>
          <w:u w:val="single"/>
        </w:rPr>
        <w:t xml:space="preserve"> Points</w:t>
      </w:r>
    </w:p>
    <w:p w14:paraId="22F29A6E" w14:textId="77777777" w:rsidR="00660789" w:rsidRPr="00DC5DD6" w:rsidRDefault="00660789" w:rsidP="00DC5DD6">
      <w:pPr>
        <w:pStyle w:val="ListParagraph"/>
        <w:numPr>
          <w:ilvl w:val="0"/>
          <w:numId w:val="6"/>
        </w:numPr>
        <w:rPr>
          <w:rFonts w:ascii="Arial" w:hAnsi="Arial" w:cs="Arial"/>
        </w:rPr>
      </w:pPr>
      <w:r w:rsidRPr="00DC5DD6">
        <w:rPr>
          <w:rFonts w:ascii="Arial" w:eastAsiaTheme="minorEastAsia" w:hAnsi="Arial" w:cs="Arial"/>
          <w:kern w:val="24"/>
        </w:rPr>
        <w:t xml:space="preserve">The Framework Agreement is </w:t>
      </w:r>
      <w:r w:rsidRPr="00DC5DD6">
        <w:rPr>
          <w:rFonts w:ascii="Arial" w:eastAsiaTheme="minorEastAsia" w:hAnsi="Arial" w:cs="Arial"/>
          <w:b/>
          <w:bCs/>
          <w:kern w:val="24"/>
          <w:u w:val="single"/>
        </w:rPr>
        <w:t>not</w:t>
      </w:r>
      <w:r w:rsidRPr="00DC5DD6">
        <w:rPr>
          <w:rFonts w:ascii="Arial" w:eastAsiaTheme="minorEastAsia" w:hAnsi="Arial" w:cs="Arial"/>
          <w:kern w:val="24"/>
        </w:rPr>
        <w:t xml:space="preserve"> a funding </w:t>
      </w:r>
      <w:r w:rsidR="00163E1F" w:rsidRPr="00DC5DD6">
        <w:rPr>
          <w:rFonts w:ascii="Arial" w:eastAsiaTheme="minorEastAsia" w:hAnsi="Arial" w:cs="Arial"/>
          <w:kern w:val="24"/>
        </w:rPr>
        <w:t>document.</w:t>
      </w:r>
    </w:p>
    <w:p w14:paraId="501B32F8" w14:textId="77777777" w:rsidR="00163E1F" w:rsidRPr="00DC5DD6" w:rsidRDefault="00163E1F" w:rsidP="00DC5DD6">
      <w:pPr>
        <w:pStyle w:val="ListParagraph"/>
        <w:numPr>
          <w:ilvl w:val="0"/>
          <w:numId w:val="6"/>
        </w:numPr>
        <w:rPr>
          <w:rFonts w:ascii="Arial" w:hAnsi="Arial" w:cs="Arial"/>
        </w:rPr>
      </w:pPr>
      <w:r w:rsidRPr="00DC5DD6">
        <w:rPr>
          <w:rFonts w:ascii="Arial" w:eastAsiaTheme="minorEastAsia" w:hAnsi="Arial" w:cs="Arial"/>
          <w:kern w:val="24"/>
        </w:rPr>
        <w:t xml:space="preserve">The Framework Agreement outlines the importance of shared services and efficiencies wherever appropriate and possible but does not detail what these are.  </w:t>
      </w:r>
    </w:p>
    <w:p w14:paraId="3E7F3919" w14:textId="77777777" w:rsidR="00163E1F" w:rsidRPr="00DC5DD6" w:rsidRDefault="00163E1F" w:rsidP="00DC5DD6">
      <w:pPr>
        <w:pStyle w:val="ListParagraph"/>
        <w:numPr>
          <w:ilvl w:val="0"/>
          <w:numId w:val="6"/>
        </w:numPr>
        <w:rPr>
          <w:rFonts w:ascii="Arial" w:hAnsi="Arial" w:cs="Arial"/>
        </w:rPr>
      </w:pPr>
      <w:r w:rsidRPr="00DC5DD6">
        <w:rPr>
          <w:rFonts w:ascii="Arial" w:eastAsiaTheme="minorEastAsia" w:hAnsi="Arial" w:cs="Arial"/>
          <w:kern w:val="24"/>
        </w:rPr>
        <w:t xml:space="preserve">The Framework Agreement is not a commercial rights agreement and does not deal with this matter. </w:t>
      </w:r>
    </w:p>
    <w:p w14:paraId="31BE483A" w14:textId="77777777" w:rsidR="00660789" w:rsidRPr="00DC5DD6" w:rsidRDefault="00660789" w:rsidP="00DC5DD6">
      <w:pPr>
        <w:pStyle w:val="ListParagraph"/>
        <w:numPr>
          <w:ilvl w:val="0"/>
          <w:numId w:val="6"/>
        </w:numPr>
        <w:rPr>
          <w:rFonts w:ascii="Arial" w:hAnsi="Arial" w:cs="Arial"/>
        </w:rPr>
      </w:pPr>
      <w:r w:rsidRPr="00DC5DD6">
        <w:rPr>
          <w:rFonts w:ascii="Arial" w:eastAsiaTheme="minorEastAsia" w:hAnsi="Arial" w:cs="Arial"/>
          <w:kern w:val="24"/>
        </w:rPr>
        <w:t xml:space="preserve">The Framework Agreement outlines a mechanism for negotiation and for dealing with any </w:t>
      </w:r>
      <w:r w:rsidR="00163E1F" w:rsidRPr="00DC5DD6">
        <w:rPr>
          <w:rFonts w:ascii="Arial" w:eastAsiaTheme="minorEastAsia" w:hAnsi="Arial" w:cs="Arial"/>
          <w:kern w:val="24"/>
        </w:rPr>
        <w:t>conflicts.</w:t>
      </w:r>
    </w:p>
    <w:p w14:paraId="6BE5B23C" w14:textId="77777777" w:rsidR="00660789" w:rsidRPr="00DC5DD6" w:rsidRDefault="00660789" w:rsidP="00DC5DD6">
      <w:pPr>
        <w:pStyle w:val="ListParagraph"/>
        <w:numPr>
          <w:ilvl w:val="0"/>
          <w:numId w:val="6"/>
        </w:numPr>
        <w:rPr>
          <w:rFonts w:ascii="Arial" w:hAnsi="Arial" w:cs="Arial"/>
        </w:rPr>
      </w:pPr>
      <w:r w:rsidRPr="00DC5DD6">
        <w:rPr>
          <w:rFonts w:ascii="Arial" w:eastAsiaTheme="minorEastAsia" w:hAnsi="Arial" w:cs="Arial"/>
          <w:kern w:val="24"/>
        </w:rPr>
        <w:t>A document that also protects and preserves individual party rights such as UK Sport and Home Country Sports Council funding</w:t>
      </w:r>
    </w:p>
    <w:p w14:paraId="65F3877A" w14:textId="6F597540" w:rsidR="00163E1F" w:rsidRPr="00DC5DD6" w:rsidRDefault="00660789" w:rsidP="00DC5DD6">
      <w:pPr>
        <w:pStyle w:val="ListParagraph"/>
        <w:numPr>
          <w:ilvl w:val="0"/>
          <w:numId w:val="6"/>
        </w:numPr>
        <w:rPr>
          <w:rFonts w:ascii="Arial" w:hAnsi="Arial" w:cs="Arial"/>
        </w:rPr>
      </w:pPr>
      <w:r w:rsidRPr="00DC5DD6">
        <w:rPr>
          <w:rFonts w:ascii="Arial" w:eastAsiaTheme="minorEastAsia" w:hAnsi="Arial" w:cs="Arial"/>
          <w:b/>
          <w:bCs/>
          <w:kern w:val="24"/>
        </w:rPr>
        <w:t>It does not include nor deal with the future role of UKMC</w:t>
      </w:r>
      <w:r w:rsidR="00163E1F" w:rsidRPr="00DC5DD6">
        <w:rPr>
          <w:rFonts w:ascii="Arial" w:eastAsiaTheme="minorEastAsia" w:hAnsi="Arial" w:cs="Arial"/>
          <w:b/>
          <w:bCs/>
          <w:kern w:val="24"/>
        </w:rPr>
        <w:t xml:space="preserve"> or any other related governance matter specific to each of the 5 individual parties.</w:t>
      </w:r>
    </w:p>
    <w:p w14:paraId="55F41C33" w14:textId="57DEFCDC" w:rsidR="00A8448E" w:rsidRPr="00DC5DD6" w:rsidRDefault="00A8448E" w:rsidP="00DC5DD6">
      <w:pPr>
        <w:pStyle w:val="ListParagraph"/>
        <w:numPr>
          <w:ilvl w:val="0"/>
          <w:numId w:val="6"/>
        </w:numPr>
        <w:rPr>
          <w:rFonts w:ascii="Arial" w:hAnsi="Arial" w:cs="Arial"/>
        </w:rPr>
      </w:pPr>
      <w:r w:rsidRPr="00DC5DD6">
        <w:rPr>
          <w:rFonts w:ascii="Arial" w:eastAsiaTheme="minorEastAsia" w:hAnsi="Arial" w:cs="Arial"/>
          <w:kern w:val="24"/>
        </w:rPr>
        <w:t>The document protects the independence of each Governing Body to operate as separate entities.</w:t>
      </w:r>
    </w:p>
    <w:p w14:paraId="4AA151E0" w14:textId="77777777" w:rsidR="00660789" w:rsidRPr="00163E1F" w:rsidRDefault="00660789">
      <w:pPr>
        <w:rPr>
          <w:rFonts w:ascii="Arial" w:hAnsi="Arial" w:cs="Arial"/>
        </w:rPr>
      </w:pPr>
    </w:p>
    <w:p w14:paraId="29CED033" w14:textId="77777777" w:rsidR="00660789" w:rsidRPr="00163E1F" w:rsidRDefault="00660789">
      <w:pPr>
        <w:rPr>
          <w:rFonts w:ascii="Arial" w:hAnsi="Arial" w:cs="Arial"/>
          <w:b/>
          <w:bCs/>
          <w:u w:val="single"/>
        </w:rPr>
      </w:pPr>
      <w:r w:rsidRPr="00163E1F">
        <w:rPr>
          <w:rFonts w:ascii="Arial" w:hAnsi="Arial" w:cs="Arial"/>
          <w:b/>
          <w:bCs/>
          <w:u w:val="single"/>
        </w:rPr>
        <w:t>The Framework Agreement Structure</w:t>
      </w:r>
    </w:p>
    <w:p w14:paraId="7E15F57D" w14:textId="77777777" w:rsidR="00660789" w:rsidRPr="00163E1F" w:rsidRDefault="00660789" w:rsidP="00660789">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Definitions &amp; Interpretations – the “parties”</w:t>
      </w:r>
      <w:r w:rsidR="00163E1F">
        <w:rPr>
          <w:rFonts w:ascii="Arial" w:eastAsiaTheme="minorEastAsia" w:hAnsi="Arial" w:cs="Arial"/>
          <w:kern w:val="24"/>
          <w:sz w:val="22"/>
          <w:szCs w:val="22"/>
        </w:rPr>
        <w:t xml:space="preserve">, </w:t>
      </w:r>
      <w:r w:rsidRPr="00163E1F">
        <w:rPr>
          <w:rFonts w:ascii="Arial" w:eastAsiaTheme="minorEastAsia" w:hAnsi="Arial" w:cs="Arial"/>
          <w:kern w:val="24"/>
          <w:sz w:val="22"/>
          <w:szCs w:val="22"/>
        </w:rPr>
        <w:t>who the</w:t>
      </w:r>
      <w:r w:rsidR="00163E1F">
        <w:rPr>
          <w:rFonts w:ascii="Arial" w:eastAsiaTheme="minorEastAsia" w:hAnsi="Arial" w:cs="Arial"/>
          <w:kern w:val="24"/>
          <w:sz w:val="22"/>
          <w:szCs w:val="22"/>
        </w:rPr>
        <w:t>y are</w:t>
      </w:r>
      <w:r w:rsidRPr="00163E1F">
        <w:rPr>
          <w:rFonts w:ascii="Arial" w:eastAsiaTheme="minorEastAsia" w:hAnsi="Arial" w:cs="Arial"/>
          <w:kern w:val="24"/>
          <w:sz w:val="22"/>
          <w:szCs w:val="22"/>
        </w:rPr>
        <w:t xml:space="preserve"> and</w:t>
      </w:r>
      <w:r w:rsidR="00163E1F">
        <w:rPr>
          <w:rFonts w:ascii="Arial" w:eastAsiaTheme="minorEastAsia" w:hAnsi="Arial" w:cs="Arial"/>
          <w:kern w:val="24"/>
          <w:sz w:val="22"/>
          <w:szCs w:val="22"/>
        </w:rPr>
        <w:t xml:space="preserve"> provides</w:t>
      </w:r>
      <w:r w:rsidRPr="00163E1F">
        <w:rPr>
          <w:rFonts w:ascii="Arial" w:eastAsiaTheme="minorEastAsia" w:hAnsi="Arial" w:cs="Arial"/>
          <w:kern w:val="24"/>
          <w:sz w:val="22"/>
          <w:szCs w:val="22"/>
        </w:rPr>
        <w:t xml:space="preserve"> a glossary of </w:t>
      </w:r>
      <w:r w:rsidR="00A922AE" w:rsidRPr="00163E1F">
        <w:rPr>
          <w:rFonts w:ascii="Arial" w:eastAsiaTheme="minorEastAsia" w:hAnsi="Arial" w:cs="Arial"/>
          <w:kern w:val="24"/>
          <w:sz w:val="22"/>
          <w:szCs w:val="22"/>
        </w:rPr>
        <w:t>definitions.</w:t>
      </w:r>
    </w:p>
    <w:p w14:paraId="2B77A8C2" w14:textId="78073A28" w:rsidR="00660789" w:rsidRPr="00163E1F" w:rsidRDefault="00660789" w:rsidP="00660789">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Vision/Strategy (shared with UKMC already) – how did we get to this point? – the “Street” review, “An Athletic Nation” and the importance of</w:t>
      </w:r>
      <w:r w:rsidR="00163E1F">
        <w:rPr>
          <w:rFonts w:ascii="Arial" w:eastAsiaTheme="minorEastAsia" w:hAnsi="Arial" w:cs="Arial"/>
          <w:kern w:val="24"/>
          <w:sz w:val="22"/>
          <w:szCs w:val="22"/>
        </w:rPr>
        <w:t xml:space="preserve"> working together to agree</w:t>
      </w:r>
      <w:r w:rsidRPr="00163E1F">
        <w:rPr>
          <w:rFonts w:ascii="Arial" w:eastAsiaTheme="minorEastAsia" w:hAnsi="Arial" w:cs="Arial"/>
          <w:kern w:val="24"/>
          <w:sz w:val="22"/>
          <w:szCs w:val="22"/>
        </w:rPr>
        <w:t xml:space="preserve"> a</w:t>
      </w:r>
      <w:r w:rsidR="00163E1F">
        <w:rPr>
          <w:rFonts w:ascii="Arial" w:eastAsiaTheme="minorEastAsia" w:hAnsi="Arial" w:cs="Arial"/>
          <w:kern w:val="24"/>
          <w:sz w:val="22"/>
          <w:szCs w:val="22"/>
        </w:rPr>
        <w:t xml:space="preserve"> </w:t>
      </w:r>
      <w:r w:rsidR="00ED07E7">
        <w:rPr>
          <w:rFonts w:ascii="Arial" w:eastAsiaTheme="minorEastAsia" w:hAnsi="Arial" w:cs="Arial"/>
          <w:kern w:val="24"/>
          <w:sz w:val="22"/>
          <w:szCs w:val="22"/>
        </w:rPr>
        <w:t>long-term</w:t>
      </w:r>
      <w:r w:rsidRPr="00163E1F">
        <w:rPr>
          <w:rFonts w:ascii="Arial" w:eastAsiaTheme="minorEastAsia" w:hAnsi="Arial" w:cs="Arial"/>
          <w:kern w:val="24"/>
          <w:sz w:val="22"/>
          <w:szCs w:val="22"/>
        </w:rPr>
        <w:t xml:space="preserve"> UK wide strategy for the </w:t>
      </w:r>
      <w:r w:rsidR="00A922AE" w:rsidRPr="00163E1F">
        <w:rPr>
          <w:rFonts w:ascii="Arial" w:eastAsiaTheme="minorEastAsia" w:hAnsi="Arial" w:cs="Arial"/>
          <w:kern w:val="24"/>
          <w:sz w:val="22"/>
          <w:szCs w:val="22"/>
        </w:rPr>
        <w:t>sport.</w:t>
      </w:r>
    </w:p>
    <w:p w14:paraId="2891E721" w14:textId="77777777" w:rsidR="00A922AE" w:rsidRPr="00163E1F" w:rsidRDefault="00660789" w:rsidP="009D43C5">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 xml:space="preserve">Roles &amp; Responsibilities (detailed </w:t>
      </w:r>
      <w:r w:rsidR="00163E1F">
        <w:rPr>
          <w:rFonts w:ascii="Arial" w:eastAsiaTheme="minorEastAsia" w:hAnsi="Arial" w:cs="Arial"/>
          <w:kern w:val="24"/>
          <w:sz w:val="22"/>
          <w:szCs w:val="22"/>
        </w:rPr>
        <w:t>as</w:t>
      </w:r>
      <w:r w:rsidRPr="00163E1F">
        <w:rPr>
          <w:rFonts w:ascii="Arial" w:eastAsiaTheme="minorEastAsia" w:hAnsi="Arial" w:cs="Arial"/>
          <w:kern w:val="24"/>
          <w:sz w:val="22"/>
          <w:szCs w:val="22"/>
        </w:rPr>
        <w:t xml:space="preserve"> </w:t>
      </w:r>
      <w:r w:rsidRPr="00163E1F">
        <w:rPr>
          <w:rFonts w:ascii="Arial" w:eastAsiaTheme="minorEastAsia" w:hAnsi="Arial" w:cs="Arial"/>
          <w:i/>
          <w:iCs/>
          <w:kern w:val="24"/>
          <w:sz w:val="22"/>
          <w:szCs w:val="22"/>
        </w:rPr>
        <w:t>schedule 2</w:t>
      </w:r>
      <w:r w:rsidRPr="00163E1F">
        <w:rPr>
          <w:rFonts w:ascii="Arial" w:eastAsiaTheme="minorEastAsia" w:hAnsi="Arial" w:cs="Arial"/>
          <w:kern w:val="24"/>
          <w:sz w:val="22"/>
          <w:szCs w:val="22"/>
        </w:rPr>
        <w:t xml:space="preserve">) </w:t>
      </w:r>
      <w:r w:rsidR="00A922AE" w:rsidRPr="00163E1F">
        <w:rPr>
          <w:rFonts w:ascii="Arial" w:eastAsiaTheme="minorEastAsia" w:hAnsi="Arial" w:cs="Arial"/>
          <w:kern w:val="24"/>
          <w:sz w:val="22"/>
          <w:szCs w:val="22"/>
        </w:rPr>
        <w:t>–</w:t>
      </w:r>
      <w:r w:rsidRPr="00163E1F">
        <w:rPr>
          <w:rFonts w:ascii="Arial" w:eastAsiaTheme="minorEastAsia" w:hAnsi="Arial" w:cs="Arial"/>
          <w:kern w:val="24"/>
          <w:sz w:val="22"/>
          <w:szCs w:val="22"/>
        </w:rPr>
        <w:t xml:space="preserve"> </w:t>
      </w:r>
      <w:r w:rsidR="00A922AE" w:rsidRPr="00163E1F">
        <w:rPr>
          <w:rFonts w:ascii="Arial" w:eastAsiaTheme="minorEastAsia" w:hAnsi="Arial" w:cs="Arial"/>
          <w:kern w:val="24"/>
          <w:sz w:val="22"/>
          <w:szCs w:val="22"/>
        </w:rPr>
        <w:t>who does what in delivering the strategy (to be reviewed every 12 months)</w:t>
      </w:r>
    </w:p>
    <w:p w14:paraId="311A180D" w14:textId="62DB9217" w:rsidR="00A72924" w:rsidRPr="00A72924" w:rsidRDefault="00ED07E7" w:rsidP="00A72924">
      <w:pPr>
        <w:pStyle w:val="ListParagraph"/>
        <w:numPr>
          <w:ilvl w:val="0"/>
          <w:numId w:val="2"/>
        </w:numPr>
        <w:spacing w:line="216" w:lineRule="auto"/>
        <w:rPr>
          <w:rFonts w:ascii="Arial" w:hAnsi="Arial" w:cs="Arial"/>
          <w:sz w:val="22"/>
          <w:szCs w:val="22"/>
        </w:rPr>
      </w:pPr>
      <w:r>
        <w:rPr>
          <w:rFonts w:ascii="Arial" w:eastAsiaTheme="minorEastAsia" w:hAnsi="Arial" w:cs="Arial"/>
          <w:kern w:val="24"/>
          <w:sz w:val="22"/>
          <w:szCs w:val="22"/>
        </w:rPr>
        <w:lastRenderedPageBreak/>
        <w:t>*</w:t>
      </w:r>
      <w:r w:rsidR="00660789" w:rsidRPr="00163E1F">
        <w:rPr>
          <w:rFonts w:ascii="Arial" w:eastAsiaTheme="minorEastAsia" w:hAnsi="Arial" w:cs="Arial"/>
          <w:kern w:val="24"/>
          <w:sz w:val="22"/>
          <w:szCs w:val="22"/>
        </w:rPr>
        <w:t>Governance of the Agreement</w:t>
      </w:r>
      <w:r w:rsidR="00A922AE" w:rsidRPr="00163E1F">
        <w:rPr>
          <w:rFonts w:ascii="Arial" w:eastAsiaTheme="minorEastAsia" w:hAnsi="Arial" w:cs="Arial"/>
          <w:kern w:val="24"/>
          <w:sz w:val="22"/>
          <w:szCs w:val="22"/>
        </w:rPr>
        <w:t xml:space="preserve"> - Joint working at Board level, the role of the CEO Forum and Working Groups (and their </w:t>
      </w:r>
      <w:r w:rsidR="00163E1F">
        <w:rPr>
          <w:rFonts w:ascii="Arial" w:eastAsiaTheme="minorEastAsia" w:hAnsi="Arial" w:cs="Arial"/>
          <w:kern w:val="24"/>
          <w:sz w:val="22"/>
          <w:szCs w:val="22"/>
        </w:rPr>
        <w:t>accountability to the respective Boards</w:t>
      </w:r>
      <w:r w:rsidR="00A922AE" w:rsidRPr="00163E1F">
        <w:rPr>
          <w:rFonts w:ascii="Arial" w:eastAsiaTheme="minorEastAsia" w:hAnsi="Arial" w:cs="Arial"/>
          <w:kern w:val="24"/>
          <w:sz w:val="22"/>
          <w:szCs w:val="22"/>
        </w:rPr>
        <w:t>) in managing the execution of the UK wide strategy for the sport. The Agreement also references the introduction of the new UKA committee focused on “Standards, Ethics and Rules”.</w:t>
      </w:r>
    </w:p>
    <w:p w14:paraId="7ED360B6" w14:textId="77777777" w:rsidR="00660789" w:rsidRPr="00163E1F" w:rsidRDefault="00660789" w:rsidP="00660789">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Funding</w:t>
      </w:r>
      <w:r w:rsidR="00A922AE" w:rsidRPr="00163E1F">
        <w:rPr>
          <w:rFonts w:ascii="Arial" w:eastAsiaTheme="minorEastAsia" w:hAnsi="Arial" w:cs="Arial"/>
          <w:kern w:val="24"/>
          <w:sz w:val="22"/>
          <w:szCs w:val="22"/>
        </w:rPr>
        <w:t xml:space="preserve"> – Protecting Home Country Sports Council Funding rights – other funding not referenced as this is not a funding agreement.</w:t>
      </w:r>
    </w:p>
    <w:p w14:paraId="0E322580" w14:textId="77777777" w:rsidR="00660789" w:rsidRPr="00163E1F" w:rsidRDefault="00660789" w:rsidP="00660789">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 xml:space="preserve">Liability and Indemnity </w:t>
      </w:r>
      <w:r w:rsidR="00A922AE" w:rsidRPr="00163E1F">
        <w:rPr>
          <w:rFonts w:ascii="Arial" w:eastAsiaTheme="minorEastAsia" w:hAnsi="Arial" w:cs="Arial"/>
          <w:kern w:val="24"/>
          <w:sz w:val="22"/>
          <w:szCs w:val="22"/>
        </w:rPr>
        <w:t>– Protections for each party</w:t>
      </w:r>
    </w:p>
    <w:p w14:paraId="34D55945" w14:textId="77777777" w:rsidR="00660789" w:rsidRPr="00163E1F" w:rsidRDefault="00660789" w:rsidP="00660789">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Term and Termination</w:t>
      </w:r>
      <w:r w:rsidR="00A922AE" w:rsidRPr="00163E1F">
        <w:rPr>
          <w:rFonts w:ascii="Arial" w:eastAsiaTheme="minorEastAsia" w:hAnsi="Arial" w:cs="Arial"/>
          <w:kern w:val="24"/>
          <w:sz w:val="22"/>
          <w:szCs w:val="22"/>
        </w:rPr>
        <w:t xml:space="preserve"> – outlining a process of review (and potential termination) every 4 years (roles and responsibilities will be reviewed every 12 months), devolution rights for HCAFs, termination clauses for each party and outlines an ability for parties to continue to work together without all involved (i.e., 4 out of 5)</w:t>
      </w:r>
    </w:p>
    <w:p w14:paraId="77CE87A0" w14:textId="77777777" w:rsidR="00660789" w:rsidRPr="00163E1F" w:rsidRDefault="00660789" w:rsidP="00660789">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Notices &amp; Other Communications</w:t>
      </w:r>
      <w:r w:rsidR="00A922AE" w:rsidRPr="00163E1F">
        <w:rPr>
          <w:rFonts w:ascii="Arial" w:eastAsiaTheme="minorEastAsia" w:hAnsi="Arial" w:cs="Arial"/>
          <w:kern w:val="24"/>
          <w:sz w:val="22"/>
          <w:szCs w:val="22"/>
        </w:rPr>
        <w:t xml:space="preserve"> – points of contact for each party with respect to the “Agreement”</w:t>
      </w:r>
    </w:p>
    <w:p w14:paraId="493603FA" w14:textId="77777777" w:rsidR="00660789" w:rsidRPr="00163E1F" w:rsidRDefault="00660789" w:rsidP="00660789">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Dispute Resolution</w:t>
      </w:r>
      <w:r w:rsidR="00A922AE" w:rsidRPr="00163E1F">
        <w:rPr>
          <w:rFonts w:ascii="Arial" w:eastAsiaTheme="minorEastAsia" w:hAnsi="Arial" w:cs="Arial"/>
          <w:kern w:val="24"/>
          <w:sz w:val="22"/>
          <w:szCs w:val="22"/>
        </w:rPr>
        <w:t xml:space="preserve"> – outlines a process for managing disputes beyond CEOs (to the respective party Chairs) and then beyond (i.e., courts) </w:t>
      </w:r>
    </w:p>
    <w:p w14:paraId="38437B97" w14:textId="77777777" w:rsidR="00660789" w:rsidRPr="00163E1F" w:rsidRDefault="00660789" w:rsidP="00660789">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 xml:space="preserve">Confidentiality </w:t>
      </w:r>
      <w:r w:rsidR="00A922AE" w:rsidRPr="00163E1F">
        <w:rPr>
          <w:rFonts w:ascii="Arial" w:eastAsiaTheme="minorEastAsia" w:hAnsi="Arial" w:cs="Arial"/>
          <w:kern w:val="24"/>
          <w:sz w:val="22"/>
          <w:szCs w:val="22"/>
        </w:rPr>
        <w:t>– relating to public announcements specific to the agreement.</w:t>
      </w:r>
    </w:p>
    <w:p w14:paraId="0FE92DAB" w14:textId="77777777" w:rsidR="00660789" w:rsidRPr="00163E1F" w:rsidRDefault="00660789" w:rsidP="00660789">
      <w:pPr>
        <w:pStyle w:val="ListParagraph"/>
        <w:numPr>
          <w:ilvl w:val="0"/>
          <w:numId w:val="2"/>
        </w:numPr>
        <w:spacing w:line="216" w:lineRule="auto"/>
        <w:rPr>
          <w:rFonts w:ascii="Arial" w:hAnsi="Arial" w:cs="Arial"/>
          <w:sz w:val="22"/>
          <w:szCs w:val="22"/>
        </w:rPr>
      </w:pPr>
      <w:r w:rsidRPr="00163E1F">
        <w:rPr>
          <w:rFonts w:ascii="Arial" w:eastAsiaTheme="minorEastAsia" w:hAnsi="Arial" w:cs="Arial"/>
          <w:kern w:val="24"/>
          <w:sz w:val="22"/>
          <w:szCs w:val="22"/>
        </w:rPr>
        <w:t>Appendices – An Athletic Nation Vision Document, “Schedule 2”, Interim Collaboration Agreement</w:t>
      </w:r>
    </w:p>
    <w:p w14:paraId="7F89BC7A" w14:textId="70A74E21" w:rsidR="00660789" w:rsidRDefault="00660789" w:rsidP="00660789">
      <w:pPr>
        <w:spacing w:line="216" w:lineRule="auto"/>
        <w:rPr>
          <w:b/>
          <w:bCs/>
          <w:u w:val="single"/>
        </w:rPr>
      </w:pPr>
    </w:p>
    <w:p w14:paraId="5D6D4D49" w14:textId="1C806ED9" w:rsidR="00A72924" w:rsidRPr="00A72924" w:rsidRDefault="00ED07E7" w:rsidP="00660789">
      <w:pPr>
        <w:spacing w:line="216" w:lineRule="auto"/>
        <w:rPr>
          <w:rFonts w:ascii="Arial" w:hAnsi="Arial" w:cs="Arial"/>
          <w:b/>
          <w:bCs/>
          <w:u w:val="single"/>
        </w:rPr>
      </w:pPr>
      <w:r>
        <w:rPr>
          <w:rFonts w:ascii="Arial" w:hAnsi="Arial" w:cs="Arial"/>
          <w:b/>
          <w:bCs/>
          <w:u w:val="single"/>
        </w:rPr>
        <w:t>*</w:t>
      </w:r>
      <w:r w:rsidR="00A72924" w:rsidRPr="00A72924">
        <w:rPr>
          <w:rFonts w:ascii="Arial" w:hAnsi="Arial" w:cs="Arial"/>
          <w:b/>
          <w:bCs/>
          <w:u w:val="single"/>
        </w:rPr>
        <w:t>Themed Working Groups</w:t>
      </w:r>
    </w:p>
    <w:p w14:paraId="7FD7FAA0" w14:textId="70EA9CFB" w:rsidR="00A72924" w:rsidRDefault="00A72924" w:rsidP="00660789">
      <w:pPr>
        <w:spacing w:line="216" w:lineRule="auto"/>
        <w:rPr>
          <w:rFonts w:ascii="Arial" w:hAnsi="Arial" w:cs="Arial"/>
        </w:rPr>
      </w:pPr>
      <w:r w:rsidRPr="00A72924">
        <w:rPr>
          <w:rFonts w:ascii="Arial" w:hAnsi="Arial" w:cs="Arial"/>
        </w:rPr>
        <w:t>These have been established covering the following areas and are following a clear Terms of Reference. The CEO Forum is responsible for agreeing membership of each of the Working Groups based on skills and experiences in those given areas. Each group has met on at least one occasion since Autumn 2020 and they will be responsible for formulating strategies in these given areas.</w:t>
      </w:r>
    </w:p>
    <w:p w14:paraId="73954962" w14:textId="575D5EA8" w:rsidR="00651A13" w:rsidRPr="00F04247" w:rsidRDefault="00651A13" w:rsidP="00660789">
      <w:pPr>
        <w:spacing w:line="216" w:lineRule="auto"/>
        <w:rPr>
          <w:rFonts w:ascii="Arial" w:hAnsi="Arial" w:cs="Arial"/>
        </w:rPr>
      </w:pPr>
      <w:r w:rsidRPr="00F04247">
        <w:rPr>
          <w:rFonts w:ascii="Arial" w:hAnsi="Arial" w:cs="Arial"/>
        </w:rPr>
        <w:t>The working groups are in place to support the development of UK Wide strategies and initiatives in the respective areas</w:t>
      </w:r>
      <w:r w:rsidR="00F04247" w:rsidRPr="00F04247">
        <w:rPr>
          <w:rFonts w:ascii="Arial" w:hAnsi="Arial" w:cs="Arial"/>
        </w:rPr>
        <w:t xml:space="preserve"> </w:t>
      </w:r>
      <w:r w:rsidRPr="00F04247">
        <w:rPr>
          <w:rFonts w:ascii="Arial" w:hAnsi="Arial" w:cs="Arial"/>
        </w:rPr>
        <w:t>and enable emerging challenges to be addressed whilst also sharing best practice from across the UK.</w:t>
      </w:r>
    </w:p>
    <w:p w14:paraId="234B3439" w14:textId="516B58D6" w:rsidR="00A72924" w:rsidRPr="00A72924" w:rsidRDefault="00A72924" w:rsidP="00A72924">
      <w:pPr>
        <w:pStyle w:val="ListParagraph"/>
        <w:numPr>
          <w:ilvl w:val="0"/>
          <w:numId w:val="3"/>
        </w:numPr>
        <w:spacing w:line="216" w:lineRule="auto"/>
        <w:rPr>
          <w:rFonts w:ascii="Arial" w:hAnsi="Arial" w:cs="Arial"/>
          <w:sz w:val="22"/>
          <w:szCs w:val="22"/>
        </w:rPr>
      </w:pPr>
      <w:r w:rsidRPr="00A72924">
        <w:rPr>
          <w:rFonts w:ascii="Arial" w:hAnsi="Arial" w:cs="Arial"/>
          <w:sz w:val="22"/>
          <w:szCs w:val="22"/>
        </w:rPr>
        <w:t>Coaching</w:t>
      </w:r>
      <w:r w:rsidR="00ED07E7">
        <w:rPr>
          <w:rFonts w:ascii="Arial" w:hAnsi="Arial" w:cs="Arial"/>
          <w:sz w:val="22"/>
          <w:szCs w:val="22"/>
        </w:rPr>
        <w:t xml:space="preserve"> (coach education and development)</w:t>
      </w:r>
    </w:p>
    <w:p w14:paraId="72649B59" w14:textId="744678D9" w:rsidR="00A72924" w:rsidRPr="00A72924" w:rsidRDefault="00A72924" w:rsidP="00A72924">
      <w:pPr>
        <w:pStyle w:val="ListParagraph"/>
        <w:numPr>
          <w:ilvl w:val="0"/>
          <w:numId w:val="3"/>
        </w:numPr>
        <w:spacing w:line="216" w:lineRule="auto"/>
        <w:rPr>
          <w:rFonts w:ascii="Arial" w:hAnsi="Arial" w:cs="Arial"/>
          <w:sz w:val="22"/>
          <w:szCs w:val="22"/>
        </w:rPr>
      </w:pPr>
      <w:r w:rsidRPr="00A72924">
        <w:rPr>
          <w:rFonts w:ascii="Arial" w:hAnsi="Arial" w:cs="Arial"/>
          <w:sz w:val="22"/>
          <w:szCs w:val="22"/>
        </w:rPr>
        <w:t>Officials</w:t>
      </w:r>
      <w:r w:rsidR="00ED07E7">
        <w:rPr>
          <w:rFonts w:ascii="Arial" w:hAnsi="Arial" w:cs="Arial"/>
          <w:sz w:val="22"/>
          <w:szCs w:val="22"/>
        </w:rPr>
        <w:t xml:space="preserve"> (officials’ education and development)</w:t>
      </w:r>
    </w:p>
    <w:p w14:paraId="4E7A0108" w14:textId="496434C1" w:rsidR="00A72924" w:rsidRDefault="00A72924" w:rsidP="00A72924">
      <w:pPr>
        <w:pStyle w:val="ListParagraph"/>
        <w:numPr>
          <w:ilvl w:val="0"/>
          <w:numId w:val="3"/>
        </w:numPr>
        <w:spacing w:line="216" w:lineRule="auto"/>
        <w:rPr>
          <w:rFonts w:ascii="Arial" w:hAnsi="Arial" w:cs="Arial"/>
          <w:sz w:val="22"/>
          <w:szCs w:val="22"/>
        </w:rPr>
      </w:pPr>
      <w:r w:rsidRPr="00A72924">
        <w:rPr>
          <w:rFonts w:ascii="Arial" w:hAnsi="Arial" w:cs="Arial"/>
          <w:sz w:val="22"/>
          <w:szCs w:val="22"/>
        </w:rPr>
        <w:t>Competition</w:t>
      </w:r>
      <w:r w:rsidR="00ED07E7">
        <w:rPr>
          <w:rFonts w:ascii="Arial" w:hAnsi="Arial" w:cs="Arial"/>
          <w:sz w:val="22"/>
          <w:szCs w:val="22"/>
        </w:rPr>
        <w:t xml:space="preserve"> (competition strategy)</w:t>
      </w:r>
    </w:p>
    <w:p w14:paraId="1BBD93FF" w14:textId="44E01A93" w:rsidR="00ED07E7" w:rsidRPr="00A72924" w:rsidRDefault="00ED07E7" w:rsidP="00A72924">
      <w:pPr>
        <w:pStyle w:val="ListParagraph"/>
        <w:numPr>
          <w:ilvl w:val="0"/>
          <w:numId w:val="3"/>
        </w:numPr>
        <w:spacing w:line="216" w:lineRule="auto"/>
        <w:rPr>
          <w:rFonts w:ascii="Arial" w:hAnsi="Arial" w:cs="Arial"/>
          <w:sz w:val="22"/>
          <w:szCs w:val="22"/>
        </w:rPr>
      </w:pPr>
      <w:r>
        <w:rPr>
          <w:rFonts w:ascii="Arial" w:hAnsi="Arial" w:cs="Arial"/>
          <w:sz w:val="22"/>
          <w:szCs w:val="22"/>
        </w:rPr>
        <w:t>Performance (performance and talent strategy)</w:t>
      </w:r>
    </w:p>
    <w:p w14:paraId="5B403249" w14:textId="353DDE9D" w:rsidR="00A72924" w:rsidRPr="00A72924" w:rsidRDefault="00A72924" w:rsidP="00A72924">
      <w:pPr>
        <w:pStyle w:val="ListParagraph"/>
        <w:numPr>
          <w:ilvl w:val="0"/>
          <w:numId w:val="3"/>
        </w:numPr>
        <w:spacing w:line="216" w:lineRule="auto"/>
        <w:rPr>
          <w:rFonts w:ascii="Arial" w:hAnsi="Arial" w:cs="Arial"/>
          <w:sz w:val="22"/>
          <w:szCs w:val="22"/>
        </w:rPr>
      </w:pPr>
      <w:r w:rsidRPr="00A72924">
        <w:rPr>
          <w:rFonts w:ascii="Arial" w:hAnsi="Arial" w:cs="Arial"/>
          <w:sz w:val="22"/>
          <w:szCs w:val="22"/>
        </w:rPr>
        <w:t>Development (schools, clubs, participation, facilities, volunteering)</w:t>
      </w:r>
    </w:p>
    <w:p w14:paraId="33CFB105" w14:textId="209770B8" w:rsidR="00A72924" w:rsidRDefault="00A72924" w:rsidP="00A72924">
      <w:pPr>
        <w:pStyle w:val="ListParagraph"/>
        <w:numPr>
          <w:ilvl w:val="0"/>
          <w:numId w:val="3"/>
        </w:numPr>
        <w:spacing w:line="216" w:lineRule="auto"/>
        <w:rPr>
          <w:rFonts w:ascii="Arial" w:hAnsi="Arial" w:cs="Arial"/>
          <w:sz w:val="22"/>
          <w:szCs w:val="22"/>
        </w:rPr>
      </w:pPr>
      <w:r w:rsidRPr="00A72924">
        <w:rPr>
          <w:rFonts w:ascii="Arial" w:hAnsi="Arial" w:cs="Arial"/>
          <w:sz w:val="22"/>
          <w:szCs w:val="22"/>
        </w:rPr>
        <w:t xml:space="preserve">Commercial </w:t>
      </w:r>
      <w:r w:rsidR="00ED07E7">
        <w:rPr>
          <w:rFonts w:ascii="Arial" w:hAnsi="Arial" w:cs="Arial"/>
          <w:sz w:val="22"/>
          <w:szCs w:val="22"/>
        </w:rPr>
        <w:t>(sponsorship)</w:t>
      </w:r>
    </w:p>
    <w:p w14:paraId="61A275B1" w14:textId="7556EFBC" w:rsidR="00EA4CE4" w:rsidRPr="00DC5DD6" w:rsidRDefault="00F04247" w:rsidP="00660789">
      <w:pPr>
        <w:pStyle w:val="ListParagraph"/>
        <w:numPr>
          <w:ilvl w:val="0"/>
          <w:numId w:val="3"/>
        </w:numPr>
        <w:spacing w:line="216" w:lineRule="auto"/>
        <w:rPr>
          <w:rFonts w:ascii="Arial" w:hAnsi="Arial" w:cs="Arial"/>
          <w:sz w:val="22"/>
          <w:szCs w:val="22"/>
        </w:rPr>
      </w:pPr>
      <w:r w:rsidRPr="00F04247">
        <w:rPr>
          <w:rFonts w:ascii="Arial" w:hAnsi="Arial" w:cs="Arial"/>
          <w:sz w:val="22"/>
          <w:szCs w:val="22"/>
        </w:rPr>
        <w:t>S</w:t>
      </w:r>
      <w:r w:rsidR="00A8448E" w:rsidRPr="00F04247">
        <w:rPr>
          <w:rFonts w:ascii="Arial" w:hAnsi="Arial" w:cs="Arial"/>
          <w:sz w:val="22"/>
          <w:szCs w:val="22"/>
        </w:rPr>
        <w:t>afeguarding</w:t>
      </w:r>
    </w:p>
    <w:p w14:paraId="62109FD6" w14:textId="77777777" w:rsidR="00660789" w:rsidRPr="00660789" w:rsidRDefault="00660789">
      <w:pPr>
        <w:rPr>
          <w:sz w:val="24"/>
          <w:szCs w:val="24"/>
        </w:rPr>
      </w:pPr>
    </w:p>
    <w:sectPr w:rsidR="00660789" w:rsidRPr="00660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5B5"/>
    <w:multiLevelType w:val="hybridMultilevel"/>
    <w:tmpl w:val="77A0B4E2"/>
    <w:lvl w:ilvl="0" w:tplc="F12E2138">
      <w:start w:val="1"/>
      <w:numFmt w:val="bullet"/>
      <w:lvlText w:val="•"/>
      <w:lvlJc w:val="left"/>
      <w:pPr>
        <w:tabs>
          <w:tab w:val="num" w:pos="720"/>
        </w:tabs>
        <w:ind w:left="720" w:hanging="360"/>
      </w:pPr>
      <w:rPr>
        <w:rFonts w:ascii="Arial" w:hAnsi="Arial" w:hint="default"/>
      </w:rPr>
    </w:lvl>
    <w:lvl w:ilvl="1" w:tplc="B1DA889A" w:tentative="1">
      <w:start w:val="1"/>
      <w:numFmt w:val="bullet"/>
      <w:lvlText w:val="•"/>
      <w:lvlJc w:val="left"/>
      <w:pPr>
        <w:tabs>
          <w:tab w:val="num" w:pos="1440"/>
        </w:tabs>
        <w:ind w:left="1440" w:hanging="360"/>
      </w:pPr>
      <w:rPr>
        <w:rFonts w:ascii="Arial" w:hAnsi="Arial" w:hint="default"/>
      </w:rPr>
    </w:lvl>
    <w:lvl w:ilvl="2" w:tplc="E9109E88" w:tentative="1">
      <w:start w:val="1"/>
      <w:numFmt w:val="bullet"/>
      <w:lvlText w:val="•"/>
      <w:lvlJc w:val="left"/>
      <w:pPr>
        <w:tabs>
          <w:tab w:val="num" w:pos="2160"/>
        </w:tabs>
        <w:ind w:left="2160" w:hanging="360"/>
      </w:pPr>
      <w:rPr>
        <w:rFonts w:ascii="Arial" w:hAnsi="Arial" w:hint="default"/>
      </w:rPr>
    </w:lvl>
    <w:lvl w:ilvl="3" w:tplc="3AB6DBA2" w:tentative="1">
      <w:start w:val="1"/>
      <w:numFmt w:val="bullet"/>
      <w:lvlText w:val="•"/>
      <w:lvlJc w:val="left"/>
      <w:pPr>
        <w:tabs>
          <w:tab w:val="num" w:pos="2880"/>
        </w:tabs>
        <w:ind w:left="2880" w:hanging="360"/>
      </w:pPr>
      <w:rPr>
        <w:rFonts w:ascii="Arial" w:hAnsi="Arial" w:hint="default"/>
      </w:rPr>
    </w:lvl>
    <w:lvl w:ilvl="4" w:tplc="52D6722C" w:tentative="1">
      <w:start w:val="1"/>
      <w:numFmt w:val="bullet"/>
      <w:lvlText w:val="•"/>
      <w:lvlJc w:val="left"/>
      <w:pPr>
        <w:tabs>
          <w:tab w:val="num" w:pos="3600"/>
        </w:tabs>
        <w:ind w:left="3600" w:hanging="360"/>
      </w:pPr>
      <w:rPr>
        <w:rFonts w:ascii="Arial" w:hAnsi="Arial" w:hint="default"/>
      </w:rPr>
    </w:lvl>
    <w:lvl w:ilvl="5" w:tplc="70E8D586" w:tentative="1">
      <w:start w:val="1"/>
      <w:numFmt w:val="bullet"/>
      <w:lvlText w:val="•"/>
      <w:lvlJc w:val="left"/>
      <w:pPr>
        <w:tabs>
          <w:tab w:val="num" w:pos="4320"/>
        </w:tabs>
        <w:ind w:left="4320" w:hanging="360"/>
      </w:pPr>
      <w:rPr>
        <w:rFonts w:ascii="Arial" w:hAnsi="Arial" w:hint="default"/>
      </w:rPr>
    </w:lvl>
    <w:lvl w:ilvl="6" w:tplc="ED3E1B96" w:tentative="1">
      <w:start w:val="1"/>
      <w:numFmt w:val="bullet"/>
      <w:lvlText w:val="•"/>
      <w:lvlJc w:val="left"/>
      <w:pPr>
        <w:tabs>
          <w:tab w:val="num" w:pos="5040"/>
        </w:tabs>
        <w:ind w:left="5040" w:hanging="360"/>
      </w:pPr>
      <w:rPr>
        <w:rFonts w:ascii="Arial" w:hAnsi="Arial" w:hint="default"/>
      </w:rPr>
    </w:lvl>
    <w:lvl w:ilvl="7" w:tplc="B542129C" w:tentative="1">
      <w:start w:val="1"/>
      <w:numFmt w:val="bullet"/>
      <w:lvlText w:val="•"/>
      <w:lvlJc w:val="left"/>
      <w:pPr>
        <w:tabs>
          <w:tab w:val="num" w:pos="5760"/>
        </w:tabs>
        <w:ind w:left="5760" w:hanging="360"/>
      </w:pPr>
      <w:rPr>
        <w:rFonts w:ascii="Arial" w:hAnsi="Arial" w:hint="default"/>
      </w:rPr>
    </w:lvl>
    <w:lvl w:ilvl="8" w:tplc="3416C0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9178B0"/>
    <w:multiLevelType w:val="hybridMultilevel"/>
    <w:tmpl w:val="998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70A13"/>
    <w:multiLevelType w:val="hybridMultilevel"/>
    <w:tmpl w:val="D070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81296"/>
    <w:multiLevelType w:val="hybridMultilevel"/>
    <w:tmpl w:val="4C6C1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0A3317"/>
    <w:multiLevelType w:val="hybridMultilevel"/>
    <w:tmpl w:val="64022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F7C53"/>
    <w:multiLevelType w:val="hybridMultilevel"/>
    <w:tmpl w:val="BEC8B8AC"/>
    <w:lvl w:ilvl="0" w:tplc="F34686E8">
      <w:start w:val="1"/>
      <w:numFmt w:val="decimal"/>
      <w:lvlText w:val="%1."/>
      <w:lvlJc w:val="left"/>
      <w:pPr>
        <w:tabs>
          <w:tab w:val="num" w:pos="720"/>
        </w:tabs>
        <w:ind w:left="720" w:hanging="360"/>
      </w:pPr>
    </w:lvl>
    <w:lvl w:ilvl="1" w:tplc="D268615C" w:tentative="1">
      <w:start w:val="1"/>
      <w:numFmt w:val="decimal"/>
      <w:lvlText w:val="%2."/>
      <w:lvlJc w:val="left"/>
      <w:pPr>
        <w:tabs>
          <w:tab w:val="num" w:pos="1440"/>
        </w:tabs>
        <w:ind w:left="1440" w:hanging="360"/>
      </w:pPr>
    </w:lvl>
    <w:lvl w:ilvl="2" w:tplc="9F305E84" w:tentative="1">
      <w:start w:val="1"/>
      <w:numFmt w:val="decimal"/>
      <w:lvlText w:val="%3."/>
      <w:lvlJc w:val="left"/>
      <w:pPr>
        <w:tabs>
          <w:tab w:val="num" w:pos="2160"/>
        </w:tabs>
        <w:ind w:left="2160" w:hanging="360"/>
      </w:pPr>
    </w:lvl>
    <w:lvl w:ilvl="3" w:tplc="785827DE" w:tentative="1">
      <w:start w:val="1"/>
      <w:numFmt w:val="decimal"/>
      <w:lvlText w:val="%4."/>
      <w:lvlJc w:val="left"/>
      <w:pPr>
        <w:tabs>
          <w:tab w:val="num" w:pos="2880"/>
        </w:tabs>
        <w:ind w:left="2880" w:hanging="360"/>
      </w:pPr>
    </w:lvl>
    <w:lvl w:ilvl="4" w:tplc="EB7CA470" w:tentative="1">
      <w:start w:val="1"/>
      <w:numFmt w:val="decimal"/>
      <w:lvlText w:val="%5."/>
      <w:lvlJc w:val="left"/>
      <w:pPr>
        <w:tabs>
          <w:tab w:val="num" w:pos="3600"/>
        </w:tabs>
        <w:ind w:left="3600" w:hanging="360"/>
      </w:pPr>
    </w:lvl>
    <w:lvl w:ilvl="5" w:tplc="FC7838E2" w:tentative="1">
      <w:start w:val="1"/>
      <w:numFmt w:val="decimal"/>
      <w:lvlText w:val="%6."/>
      <w:lvlJc w:val="left"/>
      <w:pPr>
        <w:tabs>
          <w:tab w:val="num" w:pos="4320"/>
        </w:tabs>
        <w:ind w:left="4320" w:hanging="360"/>
      </w:pPr>
    </w:lvl>
    <w:lvl w:ilvl="6" w:tplc="A9CEBBCA" w:tentative="1">
      <w:start w:val="1"/>
      <w:numFmt w:val="decimal"/>
      <w:lvlText w:val="%7."/>
      <w:lvlJc w:val="left"/>
      <w:pPr>
        <w:tabs>
          <w:tab w:val="num" w:pos="5040"/>
        </w:tabs>
        <w:ind w:left="5040" w:hanging="360"/>
      </w:pPr>
    </w:lvl>
    <w:lvl w:ilvl="7" w:tplc="E9B41E40" w:tentative="1">
      <w:start w:val="1"/>
      <w:numFmt w:val="decimal"/>
      <w:lvlText w:val="%8."/>
      <w:lvlJc w:val="left"/>
      <w:pPr>
        <w:tabs>
          <w:tab w:val="num" w:pos="5760"/>
        </w:tabs>
        <w:ind w:left="5760" w:hanging="360"/>
      </w:pPr>
    </w:lvl>
    <w:lvl w:ilvl="8" w:tplc="E10E992E"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89"/>
    <w:rsid w:val="000F7DDF"/>
    <w:rsid w:val="00163E1F"/>
    <w:rsid w:val="003B1B80"/>
    <w:rsid w:val="004B20AA"/>
    <w:rsid w:val="00651A13"/>
    <w:rsid w:val="00660789"/>
    <w:rsid w:val="00A72924"/>
    <w:rsid w:val="00A8448E"/>
    <w:rsid w:val="00A922AE"/>
    <w:rsid w:val="00DC5DD6"/>
    <w:rsid w:val="00EA4CE4"/>
    <w:rsid w:val="00ED07E7"/>
    <w:rsid w:val="00F0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4D52"/>
  <w15:chartTrackingRefBased/>
  <w15:docId w15:val="{A8A21467-8ECD-4DDF-B536-60CE4B40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7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078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0789"/>
    <w:rPr>
      <w:color w:val="0563C1" w:themeColor="hyperlink"/>
      <w:u w:val="single"/>
    </w:rPr>
  </w:style>
  <w:style w:type="character" w:customStyle="1" w:styleId="UnresolvedMention">
    <w:name w:val="Unresolved Mention"/>
    <w:basedOn w:val="DefaultParagraphFont"/>
    <w:uiPriority w:val="99"/>
    <w:semiHidden/>
    <w:unhideWhenUsed/>
    <w:rsid w:val="00660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2658">
      <w:bodyDiv w:val="1"/>
      <w:marLeft w:val="0"/>
      <w:marRight w:val="0"/>
      <w:marTop w:val="0"/>
      <w:marBottom w:val="0"/>
      <w:divBdr>
        <w:top w:val="none" w:sz="0" w:space="0" w:color="auto"/>
        <w:left w:val="none" w:sz="0" w:space="0" w:color="auto"/>
        <w:bottom w:val="none" w:sz="0" w:space="0" w:color="auto"/>
        <w:right w:val="none" w:sz="0" w:space="0" w:color="auto"/>
      </w:divBdr>
      <w:divsChild>
        <w:div w:id="1009214809">
          <w:marLeft w:val="1800"/>
          <w:marRight w:val="0"/>
          <w:marTop w:val="0"/>
          <w:marBottom w:val="0"/>
          <w:divBdr>
            <w:top w:val="none" w:sz="0" w:space="0" w:color="auto"/>
            <w:left w:val="none" w:sz="0" w:space="0" w:color="auto"/>
            <w:bottom w:val="none" w:sz="0" w:space="0" w:color="auto"/>
            <w:right w:val="none" w:sz="0" w:space="0" w:color="auto"/>
          </w:divBdr>
        </w:div>
        <w:div w:id="1091969505">
          <w:marLeft w:val="1800"/>
          <w:marRight w:val="0"/>
          <w:marTop w:val="0"/>
          <w:marBottom w:val="0"/>
          <w:divBdr>
            <w:top w:val="none" w:sz="0" w:space="0" w:color="auto"/>
            <w:left w:val="none" w:sz="0" w:space="0" w:color="auto"/>
            <w:bottom w:val="none" w:sz="0" w:space="0" w:color="auto"/>
            <w:right w:val="none" w:sz="0" w:space="0" w:color="auto"/>
          </w:divBdr>
        </w:div>
        <w:div w:id="1417091985">
          <w:marLeft w:val="1800"/>
          <w:marRight w:val="0"/>
          <w:marTop w:val="0"/>
          <w:marBottom w:val="0"/>
          <w:divBdr>
            <w:top w:val="none" w:sz="0" w:space="0" w:color="auto"/>
            <w:left w:val="none" w:sz="0" w:space="0" w:color="auto"/>
            <w:bottom w:val="none" w:sz="0" w:space="0" w:color="auto"/>
            <w:right w:val="none" w:sz="0" w:space="0" w:color="auto"/>
          </w:divBdr>
        </w:div>
        <w:div w:id="1102341198">
          <w:marLeft w:val="1800"/>
          <w:marRight w:val="0"/>
          <w:marTop w:val="0"/>
          <w:marBottom w:val="0"/>
          <w:divBdr>
            <w:top w:val="none" w:sz="0" w:space="0" w:color="auto"/>
            <w:left w:val="none" w:sz="0" w:space="0" w:color="auto"/>
            <w:bottom w:val="none" w:sz="0" w:space="0" w:color="auto"/>
            <w:right w:val="none" w:sz="0" w:space="0" w:color="auto"/>
          </w:divBdr>
        </w:div>
        <w:div w:id="1120418828">
          <w:marLeft w:val="1800"/>
          <w:marRight w:val="0"/>
          <w:marTop w:val="0"/>
          <w:marBottom w:val="0"/>
          <w:divBdr>
            <w:top w:val="none" w:sz="0" w:space="0" w:color="auto"/>
            <w:left w:val="none" w:sz="0" w:space="0" w:color="auto"/>
            <w:bottom w:val="none" w:sz="0" w:space="0" w:color="auto"/>
            <w:right w:val="none" w:sz="0" w:space="0" w:color="auto"/>
          </w:divBdr>
        </w:div>
        <w:div w:id="752632504">
          <w:marLeft w:val="1800"/>
          <w:marRight w:val="0"/>
          <w:marTop w:val="0"/>
          <w:marBottom w:val="0"/>
          <w:divBdr>
            <w:top w:val="none" w:sz="0" w:space="0" w:color="auto"/>
            <w:left w:val="none" w:sz="0" w:space="0" w:color="auto"/>
            <w:bottom w:val="none" w:sz="0" w:space="0" w:color="auto"/>
            <w:right w:val="none" w:sz="0" w:space="0" w:color="auto"/>
          </w:divBdr>
        </w:div>
        <w:div w:id="344214231">
          <w:marLeft w:val="1800"/>
          <w:marRight w:val="0"/>
          <w:marTop w:val="0"/>
          <w:marBottom w:val="0"/>
          <w:divBdr>
            <w:top w:val="none" w:sz="0" w:space="0" w:color="auto"/>
            <w:left w:val="none" w:sz="0" w:space="0" w:color="auto"/>
            <w:bottom w:val="none" w:sz="0" w:space="0" w:color="auto"/>
            <w:right w:val="none" w:sz="0" w:space="0" w:color="auto"/>
          </w:divBdr>
        </w:div>
        <w:div w:id="626274427">
          <w:marLeft w:val="1800"/>
          <w:marRight w:val="0"/>
          <w:marTop w:val="0"/>
          <w:marBottom w:val="0"/>
          <w:divBdr>
            <w:top w:val="none" w:sz="0" w:space="0" w:color="auto"/>
            <w:left w:val="none" w:sz="0" w:space="0" w:color="auto"/>
            <w:bottom w:val="none" w:sz="0" w:space="0" w:color="auto"/>
            <w:right w:val="none" w:sz="0" w:space="0" w:color="auto"/>
          </w:divBdr>
        </w:div>
        <w:div w:id="1820418318">
          <w:marLeft w:val="1800"/>
          <w:marRight w:val="0"/>
          <w:marTop w:val="0"/>
          <w:marBottom w:val="0"/>
          <w:divBdr>
            <w:top w:val="none" w:sz="0" w:space="0" w:color="auto"/>
            <w:left w:val="none" w:sz="0" w:space="0" w:color="auto"/>
            <w:bottom w:val="none" w:sz="0" w:space="0" w:color="auto"/>
            <w:right w:val="none" w:sz="0" w:space="0" w:color="auto"/>
          </w:divBdr>
        </w:div>
        <w:div w:id="1659655407">
          <w:marLeft w:val="1800"/>
          <w:marRight w:val="0"/>
          <w:marTop w:val="0"/>
          <w:marBottom w:val="0"/>
          <w:divBdr>
            <w:top w:val="none" w:sz="0" w:space="0" w:color="auto"/>
            <w:left w:val="none" w:sz="0" w:space="0" w:color="auto"/>
            <w:bottom w:val="none" w:sz="0" w:space="0" w:color="auto"/>
            <w:right w:val="none" w:sz="0" w:space="0" w:color="auto"/>
          </w:divBdr>
        </w:div>
        <w:div w:id="311449730">
          <w:marLeft w:val="1800"/>
          <w:marRight w:val="0"/>
          <w:marTop w:val="0"/>
          <w:marBottom w:val="0"/>
          <w:divBdr>
            <w:top w:val="none" w:sz="0" w:space="0" w:color="auto"/>
            <w:left w:val="none" w:sz="0" w:space="0" w:color="auto"/>
            <w:bottom w:val="none" w:sz="0" w:space="0" w:color="auto"/>
            <w:right w:val="none" w:sz="0" w:space="0" w:color="auto"/>
          </w:divBdr>
        </w:div>
      </w:divsChild>
    </w:div>
    <w:div w:id="1921407822">
      <w:bodyDiv w:val="1"/>
      <w:marLeft w:val="0"/>
      <w:marRight w:val="0"/>
      <w:marTop w:val="0"/>
      <w:marBottom w:val="0"/>
      <w:divBdr>
        <w:top w:val="none" w:sz="0" w:space="0" w:color="auto"/>
        <w:left w:val="none" w:sz="0" w:space="0" w:color="auto"/>
        <w:bottom w:val="none" w:sz="0" w:space="0" w:color="auto"/>
        <w:right w:val="none" w:sz="0" w:space="0" w:color="auto"/>
      </w:divBdr>
      <w:divsChild>
        <w:div w:id="195236773">
          <w:marLeft w:val="806"/>
          <w:marRight w:val="0"/>
          <w:marTop w:val="200"/>
          <w:marBottom w:val="0"/>
          <w:divBdr>
            <w:top w:val="none" w:sz="0" w:space="0" w:color="auto"/>
            <w:left w:val="none" w:sz="0" w:space="0" w:color="auto"/>
            <w:bottom w:val="none" w:sz="0" w:space="0" w:color="auto"/>
            <w:right w:val="none" w:sz="0" w:space="0" w:color="auto"/>
          </w:divBdr>
        </w:div>
        <w:div w:id="1914392810">
          <w:marLeft w:val="806"/>
          <w:marRight w:val="0"/>
          <w:marTop w:val="200"/>
          <w:marBottom w:val="0"/>
          <w:divBdr>
            <w:top w:val="none" w:sz="0" w:space="0" w:color="auto"/>
            <w:left w:val="none" w:sz="0" w:space="0" w:color="auto"/>
            <w:bottom w:val="none" w:sz="0" w:space="0" w:color="auto"/>
            <w:right w:val="none" w:sz="0" w:space="0" w:color="auto"/>
          </w:divBdr>
        </w:div>
        <w:div w:id="1996058158">
          <w:marLeft w:val="806"/>
          <w:marRight w:val="0"/>
          <w:marTop w:val="200"/>
          <w:marBottom w:val="0"/>
          <w:divBdr>
            <w:top w:val="none" w:sz="0" w:space="0" w:color="auto"/>
            <w:left w:val="none" w:sz="0" w:space="0" w:color="auto"/>
            <w:bottom w:val="none" w:sz="0" w:space="0" w:color="auto"/>
            <w:right w:val="none" w:sz="0" w:space="0" w:color="auto"/>
          </w:divBdr>
        </w:div>
        <w:div w:id="766729951">
          <w:marLeft w:val="806"/>
          <w:marRight w:val="0"/>
          <w:marTop w:val="200"/>
          <w:marBottom w:val="0"/>
          <w:divBdr>
            <w:top w:val="none" w:sz="0" w:space="0" w:color="auto"/>
            <w:left w:val="none" w:sz="0" w:space="0" w:color="auto"/>
            <w:bottom w:val="none" w:sz="0" w:space="0" w:color="auto"/>
            <w:right w:val="none" w:sz="0" w:space="0" w:color="auto"/>
          </w:divBdr>
        </w:div>
        <w:div w:id="106123951">
          <w:marLeft w:val="806"/>
          <w:marRight w:val="0"/>
          <w:marTop w:val="200"/>
          <w:marBottom w:val="0"/>
          <w:divBdr>
            <w:top w:val="none" w:sz="0" w:space="0" w:color="auto"/>
            <w:left w:val="none" w:sz="0" w:space="0" w:color="auto"/>
            <w:bottom w:val="none" w:sz="0" w:space="0" w:color="auto"/>
            <w:right w:val="none" w:sz="0" w:space="0" w:color="auto"/>
          </w:divBdr>
        </w:div>
        <w:div w:id="186061247">
          <w:marLeft w:val="806"/>
          <w:marRight w:val="0"/>
          <w:marTop w:val="200"/>
          <w:marBottom w:val="0"/>
          <w:divBdr>
            <w:top w:val="none" w:sz="0" w:space="0" w:color="auto"/>
            <w:left w:val="none" w:sz="0" w:space="0" w:color="auto"/>
            <w:bottom w:val="none" w:sz="0" w:space="0" w:color="auto"/>
            <w:right w:val="none" w:sz="0" w:space="0" w:color="auto"/>
          </w:divBdr>
        </w:div>
        <w:div w:id="38432248">
          <w:marLeft w:val="806"/>
          <w:marRight w:val="0"/>
          <w:marTop w:val="200"/>
          <w:marBottom w:val="0"/>
          <w:divBdr>
            <w:top w:val="none" w:sz="0" w:space="0" w:color="auto"/>
            <w:left w:val="none" w:sz="0" w:space="0" w:color="auto"/>
            <w:bottom w:val="none" w:sz="0" w:space="0" w:color="auto"/>
            <w:right w:val="none" w:sz="0" w:space="0" w:color="auto"/>
          </w:divBdr>
        </w:div>
        <w:div w:id="678625983">
          <w:marLeft w:val="806"/>
          <w:marRight w:val="0"/>
          <w:marTop w:val="200"/>
          <w:marBottom w:val="0"/>
          <w:divBdr>
            <w:top w:val="none" w:sz="0" w:space="0" w:color="auto"/>
            <w:left w:val="none" w:sz="0" w:space="0" w:color="auto"/>
            <w:bottom w:val="none" w:sz="0" w:space="0" w:color="auto"/>
            <w:right w:val="none" w:sz="0" w:space="0" w:color="auto"/>
          </w:divBdr>
        </w:div>
        <w:div w:id="989016616">
          <w:marLeft w:val="806"/>
          <w:marRight w:val="0"/>
          <w:marTop w:val="200"/>
          <w:marBottom w:val="0"/>
          <w:divBdr>
            <w:top w:val="none" w:sz="0" w:space="0" w:color="auto"/>
            <w:left w:val="none" w:sz="0" w:space="0" w:color="auto"/>
            <w:bottom w:val="none" w:sz="0" w:space="0" w:color="auto"/>
            <w:right w:val="none" w:sz="0" w:space="0" w:color="auto"/>
          </w:divBdr>
        </w:div>
        <w:div w:id="221137694">
          <w:marLeft w:val="806"/>
          <w:marRight w:val="0"/>
          <w:marTop w:val="200"/>
          <w:marBottom w:val="0"/>
          <w:divBdr>
            <w:top w:val="none" w:sz="0" w:space="0" w:color="auto"/>
            <w:left w:val="none" w:sz="0" w:space="0" w:color="auto"/>
            <w:bottom w:val="none" w:sz="0" w:space="0" w:color="auto"/>
            <w:right w:val="none" w:sz="0" w:space="0" w:color="auto"/>
          </w:divBdr>
        </w:div>
        <w:div w:id="231434670">
          <w:marLeft w:val="806"/>
          <w:marRight w:val="0"/>
          <w:marTop w:val="200"/>
          <w:marBottom w:val="0"/>
          <w:divBdr>
            <w:top w:val="none" w:sz="0" w:space="0" w:color="auto"/>
            <w:left w:val="none" w:sz="0" w:space="0" w:color="auto"/>
            <w:bottom w:val="none" w:sz="0" w:space="0" w:color="auto"/>
            <w:right w:val="none" w:sz="0" w:space="0" w:color="auto"/>
          </w:divBdr>
        </w:div>
      </w:divsChild>
    </w:div>
    <w:div w:id="21294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a.org.uk/wp-content/uploads/2020/11/UK-Wide-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hleticsni.org/News/Athletics-NI-News/UK-ATHLETICS-AND-HOME-COUNTRIES-ANNOUNCE-NEW-STRATEGY-2020--2032" TargetMode="External"/><Relationship Id="rId5" Type="http://schemas.openxmlformats.org/officeDocument/2006/relationships/hyperlink" Target="https://athleticsni.org/News/Athletics-NI-News/UK-Athletics-and-Home-Countries-Commit-to-UK-Sport-Review-Recommended-Change-Pl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Shauna Bratten</cp:lastModifiedBy>
  <cp:revision>3</cp:revision>
  <dcterms:created xsi:type="dcterms:W3CDTF">2021-02-16T17:16:00Z</dcterms:created>
  <dcterms:modified xsi:type="dcterms:W3CDTF">2021-02-16T17:17:00Z</dcterms:modified>
</cp:coreProperties>
</file>